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C8" w:rsidRDefault="00CD70C8">
      <w:pPr>
        <w:pStyle w:val="BodyText"/>
        <w:rPr>
          <w:rFonts w:ascii="Times New Roman"/>
          <w:sz w:val="20"/>
        </w:rPr>
      </w:pPr>
    </w:p>
    <w:p w:rsidR="00CD70C8" w:rsidRDefault="00B84403">
      <w:pPr>
        <w:pStyle w:val="BodyText"/>
        <w:spacing w:before="8"/>
        <w:rPr>
          <w:rFonts w:ascii="Times New Roman"/>
          <w:sz w:val="18"/>
        </w:rPr>
      </w:pPr>
      <w:r>
        <w:rPr>
          <w:noProof/>
        </w:rPr>
        <w:drawing>
          <wp:anchor distT="0" distB="0" distL="0" distR="0" simplePos="0" relativeHeight="251657216" behindDoc="0" locked="0" layoutInCell="1" allowOverlap="1">
            <wp:simplePos x="0" y="0"/>
            <wp:positionH relativeFrom="page">
              <wp:posOffset>873125</wp:posOffset>
            </wp:positionH>
            <wp:positionV relativeFrom="paragraph">
              <wp:posOffset>55245</wp:posOffset>
            </wp:positionV>
            <wp:extent cx="1454240" cy="536061"/>
            <wp:effectExtent l="0" t="0" r="0" b="0"/>
            <wp:wrapNone/>
            <wp:docPr id="1" name="image1.png"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54240" cy="536061"/>
                    </a:xfrm>
                    <a:prstGeom prst="rect">
                      <a:avLst/>
                    </a:prstGeom>
                  </pic:spPr>
                </pic:pic>
              </a:graphicData>
            </a:graphic>
          </wp:anchor>
        </w:drawing>
      </w:r>
    </w:p>
    <w:p w:rsidR="00CD70C8" w:rsidRDefault="00216973">
      <w:pPr>
        <w:pStyle w:val="Title"/>
      </w:pPr>
      <w:r>
        <w:rPr>
          <w:color w:val="1F497D"/>
        </w:rPr>
        <w:t>2020-21 Annual Notice for Statewide Tests</w:t>
      </w:r>
    </w:p>
    <w:p w:rsidR="00CD70C8" w:rsidRDefault="00CD70C8">
      <w:pPr>
        <w:pStyle w:val="BodyText"/>
        <w:spacing w:before="6"/>
        <w:rPr>
          <w:b/>
          <w:sz w:val="27"/>
        </w:rPr>
      </w:pPr>
    </w:p>
    <w:p w:rsidR="00CD70C8" w:rsidRDefault="00CD70C8">
      <w:pPr>
        <w:rPr>
          <w:sz w:val="27"/>
        </w:rPr>
        <w:sectPr w:rsidR="00CD70C8">
          <w:type w:val="continuous"/>
          <w:pgSz w:w="12240" w:h="15840"/>
          <w:pgMar w:top="280" w:right="460" w:bottom="280" w:left="580" w:header="720" w:footer="720" w:gutter="0"/>
          <w:cols w:space="720"/>
        </w:sectPr>
      </w:pPr>
      <w:bookmarkStart w:id="0" w:name="_GoBack"/>
      <w:bookmarkEnd w:id="0"/>
    </w:p>
    <w:p w:rsidR="00CD70C8" w:rsidRDefault="00216973">
      <w:pPr>
        <w:pStyle w:val="Heading1"/>
        <w:spacing w:before="45"/>
        <w:ind w:left="140"/>
      </w:pPr>
      <w:r>
        <w:rPr>
          <w:color w:val="1F497D"/>
        </w:rPr>
        <w:t>ALL STUDENTS GRADUATE PREPARED</w:t>
      </w:r>
    </w:p>
    <w:p w:rsidR="00CD70C8" w:rsidRDefault="00216973" w:rsidP="001B0014">
      <w:pPr>
        <w:pStyle w:val="BodyText"/>
        <w:spacing w:before="1"/>
        <w:ind w:left="139" w:right="37"/>
      </w:pPr>
      <w:r w:rsidRPr="001B0014">
        <w:t>In 2010, Oregon adopted higher K-12 standards in English language a</w:t>
      </w:r>
      <w:r w:rsidRPr="001B0014">
        <w:t>rts and mathematics to ensure that all students move from grade to grade with the academic knowledge and skills necessary for success b</w:t>
      </w:r>
      <w:r w:rsidRPr="001B0014">
        <w:t>eyond high school. We have adjusted the test bluepri</w:t>
      </w:r>
      <w:r w:rsidRPr="001B0014">
        <w:t>nt for</w:t>
      </w:r>
      <w:r w:rsidR="001B0014">
        <w:t xml:space="preserve"> </w:t>
      </w:r>
      <w:r w:rsidRPr="001B0014">
        <w:t>2020-21 to allow for reliable estimation of student performance, while decreasing the time that students spend testing.</w:t>
      </w:r>
    </w:p>
    <w:p w:rsidR="00CD70C8" w:rsidRDefault="00CD70C8">
      <w:pPr>
        <w:pStyle w:val="BodyText"/>
        <w:spacing w:before="6"/>
        <w:rPr>
          <w:sz w:val="24"/>
        </w:rPr>
      </w:pPr>
    </w:p>
    <w:p w:rsidR="00CD70C8" w:rsidRDefault="00216973">
      <w:pPr>
        <w:pStyle w:val="Heading2"/>
        <w:ind w:left="140"/>
      </w:pPr>
      <w:r>
        <w:t>Why does participation matter?</w:t>
      </w:r>
    </w:p>
    <w:p w:rsidR="00CD70C8" w:rsidRDefault="00216973">
      <w:pPr>
        <w:pStyle w:val="BodyText"/>
        <w:spacing w:before="1"/>
        <w:ind w:left="139" w:right="37"/>
      </w:pPr>
      <w:r>
        <w:t>While no single test gives a complete picture of your child’s progress, having your child take t</w:t>
      </w:r>
      <w:r>
        <w:t>he statewide tests provides educators and administrators with systems-level information about what educational approaches are working and where additional resources are needed. Your child’s participation is important to help ensure that schools and distric</w:t>
      </w:r>
      <w:r>
        <w:t>ts receive the targeted resources they need to help all students succeed, particularly those from historically underserved backgrounds.</w:t>
      </w:r>
    </w:p>
    <w:p w:rsidR="00CD70C8" w:rsidRDefault="00216973">
      <w:pPr>
        <w:pStyle w:val="Heading1"/>
        <w:ind w:left="697"/>
      </w:pPr>
      <w:r>
        <w:rPr>
          <w:b w:val="0"/>
        </w:rPr>
        <w:br w:type="column"/>
      </w:r>
      <w:r>
        <w:rPr>
          <w:color w:val="1F497D"/>
        </w:rPr>
        <w:t>OREGON’S STATE</w:t>
      </w:r>
      <w:r>
        <w:rPr>
          <w:color w:val="1F497D"/>
          <w:spacing w:val="-5"/>
        </w:rPr>
        <w:t xml:space="preserve"> </w:t>
      </w:r>
      <w:r>
        <w:rPr>
          <w:color w:val="1F497D"/>
        </w:rPr>
        <w:t>TESTS</w:t>
      </w:r>
    </w:p>
    <w:p w:rsidR="00CD70C8" w:rsidRDefault="00216973">
      <w:pPr>
        <w:pStyle w:val="ListParagraph"/>
        <w:numPr>
          <w:ilvl w:val="0"/>
          <w:numId w:val="1"/>
        </w:numPr>
        <w:tabs>
          <w:tab w:val="left" w:pos="500"/>
        </w:tabs>
        <w:spacing w:before="72" w:line="237" w:lineRule="auto"/>
        <w:ind w:right="228"/>
        <w:rPr>
          <w:sz w:val="25"/>
        </w:rPr>
      </w:pPr>
      <w:r>
        <w:rPr>
          <w:b/>
          <w:sz w:val="25"/>
        </w:rPr>
        <w:t xml:space="preserve">Help identify schools and districts </w:t>
      </w:r>
      <w:r>
        <w:rPr>
          <w:sz w:val="25"/>
        </w:rPr>
        <w:t>that need additional supports to ensure more students are meet</w:t>
      </w:r>
      <w:r>
        <w:rPr>
          <w:sz w:val="25"/>
        </w:rPr>
        <w:t>ing higher</w:t>
      </w:r>
      <w:r>
        <w:rPr>
          <w:spacing w:val="-6"/>
          <w:sz w:val="25"/>
        </w:rPr>
        <w:t xml:space="preserve"> </w:t>
      </w:r>
      <w:r>
        <w:rPr>
          <w:sz w:val="25"/>
        </w:rPr>
        <w:t>standards</w:t>
      </w:r>
    </w:p>
    <w:p w:rsidR="00CD70C8" w:rsidRDefault="00216973">
      <w:pPr>
        <w:pStyle w:val="ListParagraph"/>
        <w:numPr>
          <w:ilvl w:val="0"/>
          <w:numId w:val="1"/>
        </w:numPr>
        <w:tabs>
          <w:tab w:val="left" w:pos="500"/>
        </w:tabs>
        <w:spacing w:before="7" w:line="237" w:lineRule="auto"/>
        <w:rPr>
          <w:sz w:val="25"/>
        </w:rPr>
      </w:pPr>
      <w:r>
        <w:rPr>
          <w:b/>
          <w:sz w:val="25"/>
        </w:rPr>
        <w:t xml:space="preserve">Challenge students to think critically </w:t>
      </w:r>
      <w:r>
        <w:rPr>
          <w:sz w:val="25"/>
        </w:rPr>
        <w:t>and apply their knowledge to real-world</w:t>
      </w:r>
      <w:r>
        <w:rPr>
          <w:spacing w:val="-19"/>
          <w:sz w:val="25"/>
        </w:rPr>
        <w:t xml:space="preserve"> </w:t>
      </w:r>
      <w:r>
        <w:rPr>
          <w:sz w:val="25"/>
        </w:rPr>
        <w:t>problems</w:t>
      </w:r>
    </w:p>
    <w:p w:rsidR="00CD70C8" w:rsidRDefault="00216973">
      <w:pPr>
        <w:pStyle w:val="ListParagraph"/>
        <w:numPr>
          <w:ilvl w:val="0"/>
          <w:numId w:val="1"/>
        </w:numPr>
        <w:tabs>
          <w:tab w:val="left" w:pos="500"/>
        </w:tabs>
        <w:spacing w:before="5" w:line="237" w:lineRule="auto"/>
        <w:ind w:right="719"/>
        <w:rPr>
          <w:sz w:val="25"/>
        </w:rPr>
      </w:pPr>
      <w:r>
        <w:rPr>
          <w:b/>
          <w:sz w:val="25"/>
        </w:rPr>
        <w:t xml:space="preserve">Use multiple item formats </w:t>
      </w:r>
      <w:r>
        <w:rPr>
          <w:sz w:val="25"/>
        </w:rPr>
        <w:t>to ensure multiple means of accessing item</w:t>
      </w:r>
      <w:r>
        <w:rPr>
          <w:spacing w:val="-3"/>
          <w:sz w:val="25"/>
        </w:rPr>
        <w:t xml:space="preserve"> </w:t>
      </w:r>
      <w:r>
        <w:rPr>
          <w:sz w:val="25"/>
        </w:rPr>
        <w:t>content</w:t>
      </w:r>
    </w:p>
    <w:p w:rsidR="00CD70C8" w:rsidRDefault="00216973">
      <w:pPr>
        <w:pStyle w:val="ListParagraph"/>
        <w:numPr>
          <w:ilvl w:val="0"/>
          <w:numId w:val="1"/>
        </w:numPr>
        <w:tabs>
          <w:tab w:val="left" w:pos="500"/>
        </w:tabs>
        <w:ind w:right="391"/>
        <w:rPr>
          <w:sz w:val="25"/>
        </w:rPr>
      </w:pPr>
      <w:r>
        <w:rPr>
          <w:b/>
          <w:sz w:val="25"/>
        </w:rPr>
        <w:t xml:space="preserve">Act as a snapshot of your child’s progress </w:t>
      </w:r>
      <w:r>
        <w:rPr>
          <w:sz w:val="25"/>
        </w:rPr>
        <w:t>and may be considered along with other pieces of information to understand your child’s academic strengths and needs</w:t>
      </w:r>
    </w:p>
    <w:p w:rsidR="00CD70C8" w:rsidRDefault="00CD70C8">
      <w:pPr>
        <w:rPr>
          <w:sz w:val="25"/>
        </w:rPr>
        <w:sectPr w:rsidR="00CD70C8">
          <w:type w:val="continuous"/>
          <w:pgSz w:w="12240" w:h="15840"/>
          <w:pgMar w:top="280" w:right="460" w:bottom="280" w:left="580" w:header="720" w:footer="720" w:gutter="0"/>
          <w:cols w:num="2" w:space="720" w:equalWidth="0">
            <w:col w:w="6484" w:space="487"/>
            <w:col w:w="4229"/>
          </w:cols>
        </w:sectPr>
      </w:pPr>
    </w:p>
    <w:p w:rsidR="00CD70C8" w:rsidRDefault="00CD70C8">
      <w:pPr>
        <w:pStyle w:val="BodyText"/>
        <w:rPr>
          <w:sz w:val="20"/>
        </w:rPr>
      </w:pPr>
    </w:p>
    <w:p w:rsidR="00CD70C8" w:rsidRDefault="00CD70C8">
      <w:pPr>
        <w:pStyle w:val="BodyText"/>
        <w:rPr>
          <w:sz w:val="17"/>
        </w:rPr>
      </w:pPr>
    </w:p>
    <w:p w:rsidR="00CD70C8" w:rsidRDefault="00216973">
      <w:pPr>
        <w:pStyle w:val="Heading2"/>
        <w:spacing w:before="100"/>
        <w:ind w:left="139"/>
      </w:pPr>
      <w:r>
        <w:t>Description of rights</w:t>
      </w:r>
    </w:p>
    <w:p w:rsidR="00CD70C8" w:rsidRDefault="00216973" w:rsidP="001B0014">
      <w:pPr>
        <w:pStyle w:val="BodyText"/>
        <w:spacing w:before="1"/>
        <w:ind w:left="139" w:right="37"/>
      </w:pPr>
      <w:r>
        <w:pict>
          <v:rect id="_x0000_s1026" alt="" style="position:absolute;left:0;text-align:left;margin-left:342.05pt;margin-top:35.7pt;width:2.9pt;height:.7pt;z-index:-251658240;mso-wrap-edited:f;mso-width-percent:0;mso-height-percent:0;mso-position-horizontal-relative:page;mso-width-percent:0;mso-height-percent:0" fillcolor="black" stroked="f">
            <w10:wrap anchorx="page"/>
          </v:rect>
        </w:pict>
      </w:r>
      <w:r>
        <w:t>House Bill 2655 permits parents and adult studen</w:t>
      </w:r>
      <w:r>
        <w:t>ts to annually opt-out of Oregon’s statewide summative tests in English language arts and mathematics by submitting an annual form to the school the student attends. Schools will provide parents with the annual form for 2020-21 at least 30 days prior to th</w:t>
      </w:r>
      <w:r>
        <w:t xml:space="preserve">e start of testing. Visit this link to learn more about House Bill 2655: </w:t>
      </w:r>
      <w:hyperlink r:id="rId6">
        <w:r w:rsidRPr="001B0014">
          <w:t>http://tinyurl.com/OR-HB2655</w:t>
        </w:r>
        <w:r>
          <w:t>.</w:t>
        </w:r>
      </w:hyperlink>
    </w:p>
    <w:p w:rsidR="00CD70C8" w:rsidRDefault="00CD70C8">
      <w:pPr>
        <w:pStyle w:val="BodyText"/>
        <w:rPr>
          <w:sz w:val="20"/>
        </w:rPr>
      </w:pPr>
    </w:p>
    <w:p w:rsidR="00CD70C8" w:rsidRDefault="00CD70C8">
      <w:pPr>
        <w:pStyle w:val="BodyText"/>
        <w:spacing w:before="10"/>
        <w:rPr>
          <w:sz w:val="24"/>
        </w:rPr>
      </w:pPr>
    </w:p>
    <w:p w:rsidR="00CD70C8" w:rsidRDefault="00CD70C8">
      <w:pPr>
        <w:rPr>
          <w:sz w:val="24"/>
        </w:rPr>
        <w:sectPr w:rsidR="00CD70C8">
          <w:type w:val="continuous"/>
          <w:pgSz w:w="12240" w:h="15840"/>
          <w:pgMar w:top="280" w:right="460" w:bottom="280" w:left="580" w:header="720" w:footer="720" w:gutter="0"/>
          <w:cols w:space="720"/>
        </w:sectPr>
      </w:pPr>
    </w:p>
    <w:p w:rsidR="00CD70C8" w:rsidRDefault="00216973">
      <w:pPr>
        <w:pStyle w:val="Heading1"/>
        <w:spacing w:before="62"/>
        <w:ind w:right="38"/>
        <w:jc w:val="center"/>
      </w:pPr>
      <w:r>
        <w:rPr>
          <w:color w:val="1F497D"/>
        </w:rPr>
        <w:t>STATEWIDE TESTING WINDOWS</w:t>
      </w:r>
    </w:p>
    <w:p w:rsidR="00CD70C8" w:rsidRDefault="00216973" w:rsidP="001B0014">
      <w:pPr>
        <w:pStyle w:val="BodyText"/>
        <w:spacing w:before="1"/>
        <w:ind w:left="139" w:right="37"/>
      </w:pPr>
      <w:r w:rsidRPr="001B0014">
        <w:t>High School English language arts &amp; mathematics summative tests January 5 – June 4, 2021</w:t>
      </w:r>
    </w:p>
    <w:p w:rsidR="00CD70C8" w:rsidRPr="001B0014" w:rsidRDefault="00CD70C8" w:rsidP="001B0014">
      <w:pPr>
        <w:pStyle w:val="BodyText"/>
        <w:spacing w:before="1"/>
        <w:ind w:left="139" w:right="37"/>
      </w:pPr>
    </w:p>
    <w:p w:rsidR="00CD70C8" w:rsidRDefault="00216973" w:rsidP="001B0014">
      <w:pPr>
        <w:pStyle w:val="BodyText"/>
        <w:spacing w:before="1"/>
        <w:ind w:left="139" w:right="37"/>
      </w:pPr>
      <w:r w:rsidRPr="001B0014">
        <w:t>Grades 3-8 English language arts &amp; mathematics summative tests March 4 – June 4, 2021</w:t>
      </w:r>
    </w:p>
    <w:p w:rsidR="00CD70C8" w:rsidRDefault="00216973">
      <w:pPr>
        <w:pStyle w:val="Heading2"/>
        <w:spacing w:before="54"/>
      </w:pPr>
      <w:r>
        <w:rPr>
          <w:b w:val="0"/>
        </w:rPr>
        <w:br w:type="column"/>
      </w:r>
      <w:r>
        <w:t>When will my child take the test?</w:t>
      </w:r>
    </w:p>
    <w:p w:rsidR="00CD70C8" w:rsidRDefault="00216973" w:rsidP="001B0014">
      <w:pPr>
        <w:pStyle w:val="BodyText"/>
        <w:spacing w:before="1"/>
        <w:ind w:left="139" w:right="37"/>
      </w:pPr>
      <w:r>
        <w:t xml:space="preserve">Your child will be tested once. Your child’s </w:t>
      </w:r>
      <w:r>
        <w:t>school will determine the specific dates your child takes the tests within the statewide testing window.</w:t>
      </w:r>
    </w:p>
    <w:p w:rsidR="00CD70C8" w:rsidRDefault="00CD70C8">
      <w:pPr>
        <w:sectPr w:rsidR="00CD70C8">
          <w:type w:val="continuous"/>
          <w:pgSz w:w="12240" w:h="15840"/>
          <w:pgMar w:top="280" w:right="460" w:bottom="280" w:left="580" w:header="720" w:footer="720" w:gutter="0"/>
          <w:cols w:num="2" w:space="720" w:equalWidth="0">
            <w:col w:w="6067" w:space="666"/>
            <w:col w:w="4467"/>
          </w:cols>
        </w:sectPr>
      </w:pPr>
    </w:p>
    <w:p w:rsidR="00CD70C8" w:rsidRDefault="00CD70C8">
      <w:pPr>
        <w:pStyle w:val="BodyText"/>
        <w:rPr>
          <w:sz w:val="20"/>
        </w:rPr>
      </w:pPr>
    </w:p>
    <w:p w:rsidR="00CD70C8" w:rsidRDefault="00CD70C8">
      <w:pPr>
        <w:pStyle w:val="BodyText"/>
        <w:rPr>
          <w:sz w:val="20"/>
        </w:rPr>
      </w:pPr>
    </w:p>
    <w:p w:rsidR="00CD70C8" w:rsidRDefault="00CD70C8">
      <w:pPr>
        <w:pStyle w:val="BodyText"/>
        <w:spacing w:before="8"/>
        <w:rPr>
          <w:sz w:val="18"/>
        </w:rPr>
      </w:pPr>
    </w:p>
    <w:p w:rsidR="00CD70C8" w:rsidRDefault="00216973" w:rsidP="001B0014">
      <w:pPr>
        <w:pStyle w:val="Heading1"/>
        <w:ind w:left="127"/>
        <w:rPr>
          <w:color w:val="1F497D"/>
        </w:rPr>
      </w:pPr>
      <w:r>
        <w:rPr>
          <w:color w:val="1F497D"/>
        </w:rPr>
        <w:t>STAY INFORMED</w:t>
      </w:r>
    </w:p>
    <w:p w:rsidR="001B0014" w:rsidRPr="001B0014" w:rsidRDefault="001B0014" w:rsidP="001B0014">
      <w:pPr>
        <w:pStyle w:val="Heading1"/>
        <w:ind w:left="127"/>
        <w:rPr>
          <w:sz w:val="16"/>
          <w:szCs w:val="16"/>
        </w:rPr>
      </w:pPr>
    </w:p>
    <w:p w:rsidR="00CD70C8" w:rsidRPr="001B0014" w:rsidRDefault="00216973" w:rsidP="001B0014">
      <w:pPr>
        <w:pStyle w:val="BodyText"/>
        <w:spacing w:before="1"/>
        <w:ind w:left="139" w:right="37"/>
        <w:rPr>
          <w:b/>
          <w:bCs/>
        </w:rPr>
      </w:pPr>
      <w:r w:rsidRPr="001B0014">
        <w:rPr>
          <w:b/>
          <w:bCs/>
        </w:rPr>
        <w:t>Talk to your child’s teacher or school principal if you have questions or want to learn more about how you can support your child in English language arts and mathematics. Here are some additional resources:</w:t>
      </w:r>
    </w:p>
    <w:p w:rsidR="00CD70C8" w:rsidRPr="001B0014" w:rsidRDefault="00CD70C8">
      <w:pPr>
        <w:pStyle w:val="BodyText"/>
        <w:spacing w:before="10"/>
        <w:rPr>
          <w:bCs/>
          <w:sz w:val="16"/>
          <w:szCs w:val="16"/>
        </w:rPr>
      </w:pPr>
    </w:p>
    <w:p w:rsidR="001B0014" w:rsidRDefault="00216973" w:rsidP="001B0014">
      <w:pPr>
        <w:pStyle w:val="BodyText"/>
        <w:spacing w:before="1"/>
        <w:ind w:left="139" w:right="37"/>
      </w:pPr>
      <w:hyperlink r:id="rId7">
        <w:r w:rsidRPr="001B0014">
          <w:rPr>
            <w:u w:val="single"/>
          </w:rPr>
          <w:t>http://tinyurl.com/ELARoadmap</w:t>
        </w:r>
        <w:r w:rsidRPr="001B0014">
          <w:t xml:space="preserve"> &amp; </w:t>
        </w:r>
      </w:hyperlink>
      <w:hyperlink r:id="rId8">
        <w:r w:rsidRPr="001B0014">
          <w:rPr>
            <w:u w:val="single"/>
          </w:rPr>
          <w:t>http://tinyurl.com/MathRoadmap</w:t>
        </w:r>
      </w:hyperlink>
      <w:r w:rsidRPr="001B0014">
        <w:t xml:space="preserve"> </w:t>
      </w:r>
    </w:p>
    <w:p w:rsidR="00CD70C8" w:rsidRDefault="00216973" w:rsidP="001B0014">
      <w:pPr>
        <w:pStyle w:val="BodyText"/>
        <w:spacing w:before="1"/>
        <w:ind w:left="139" w:right="37"/>
      </w:pPr>
      <w:r w:rsidRPr="001B0014">
        <w:t xml:space="preserve">To view sample test questions: </w:t>
      </w:r>
      <w:hyperlink r:id="rId9">
        <w:r w:rsidRPr="001B0014">
          <w:rPr>
            <w:u w:val="single"/>
          </w:rPr>
          <w:t>https://tinyurl.com/ORPracticeTest</w:t>
        </w:r>
      </w:hyperlink>
    </w:p>
    <w:p w:rsidR="00CD70C8" w:rsidRDefault="00216973" w:rsidP="001B0014">
      <w:pPr>
        <w:pStyle w:val="BodyText"/>
        <w:spacing w:before="1"/>
        <w:ind w:left="139" w:right="37"/>
      </w:pPr>
      <w:r w:rsidRPr="001B0014">
        <w:t>To read more about yo</w:t>
      </w:r>
      <w:r w:rsidRPr="001B0014">
        <w:t xml:space="preserve">ur child’s test results: </w:t>
      </w:r>
      <w:r w:rsidRPr="001B0014">
        <w:rPr>
          <w:u w:val="single"/>
        </w:rPr>
        <w:fldChar w:fldCharType="begin"/>
      </w:r>
      <w:r w:rsidR="001B0014" w:rsidRPr="001B0014">
        <w:rPr>
          <w:u w:val="single"/>
        </w:rPr>
        <w:instrText xml:space="preserve">HYPERLINK "http://tinyurl.com/ORTestResults" \h </w:instrText>
      </w:r>
      <w:r w:rsidR="001B0014" w:rsidRPr="001B0014">
        <w:rPr>
          <w:u w:val="single"/>
        </w:rPr>
      </w:r>
      <w:r w:rsidRPr="001B0014">
        <w:rPr>
          <w:u w:val="single"/>
        </w:rPr>
        <w:fldChar w:fldCharType="separate"/>
      </w:r>
      <w:r w:rsidRPr="001B0014">
        <w:rPr>
          <w:u w:val="single"/>
        </w:rPr>
        <w:t>http://tinyurl.com/ORTestResults</w:t>
      </w:r>
      <w:r w:rsidRPr="001B0014">
        <w:rPr>
          <w:u w:val="single"/>
        </w:rPr>
        <w:fldChar w:fldCharType="end"/>
      </w:r>
    </w:p>
    <w:sectPr w:rsidR="00CD70C8">
      <w:type w:val="continuous"/>
      <w:pgSz w:w="12240" w:h="15840"/>
      <w:pgMar w:top="280" w:right="4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33422"/>
    <w:multiLevelType w:val="hybridMultilevel"/>
    <w:tmpl w:val="80E41A6E"/>
    <w:lvl w:ilvl="0" w:tplc="73946DE0">
      <w:numFmt w:val="bullet"/>
      <w:lvlText w:val="o"/>
      <w:lvlJc w:val="left"/>
      <w:pPr>
        <w:ind w:left="499" w:hanging="360"/>
      </w:pPr>
      <w:rPr>
        <w:rFonts w:ascii="Courier New" w:eastAsia="Courier New" w:hAnsi="Courier New" w:cs="Courier New" w:hint="default"/>
        <w:w w:val="99"/>
        <w:sz w:val="24"/>
        <w:szCs w:val="24"/>
        <w:lang w:val="en-US" w:eastAsia="en-US" w:bidi="ar-SA"/>
      </w:rPr>
    </w:lvl>
    <w:lvl w:ilvl="1" w:tplc="CDCCADE4">
      <w:numFmt w:val="bullet"/>
      <w:lvlText w:val="•"/>
      <w:lvlJc w:val="left"/>
      <w:pPr>
        <w:ind w:left="872" w:hanging="360"/>
      </w:pPr>
      <w:rPr>
        <w:rFonts w:hint="default"/>
        <w:lang w:val="en-US" w:eastAsia="en-US" w:bidi="ar-SA"/>
      </w:rPr>
    </w:lvl>
    <w:lvl w:ilvl="2" w:tplc="B20636B2">
      <w:numFmt w:val="bullet"/>
      <w:lvlText w:val="•"/>
      <w:lvlJc w:val="left"/>
      <w:pPr>
        <w:ind w:left="1245" w:hanging="360"/>
      </w:pPr>
      <w:rPr>
        <w:rFonts w:hint="default"/>
        <w:lang w:val="en-US" w:eastAsia="en-US" w:bidi="ar-SA"/>
      </w:rPr>
    </w:lvl>
    <w:lvl w:ilvl="3" w:tplc="D3EC8920">
      <w:numFmt w:val="bullet"/>
      <w:lvlText w:val="•"/>
      <w:lvlJc w:val="left"/>
      <w:pPr>
        <w:ind w:left="1618" w:hanging="360"/>
      </w:pPr>
      <w:rPr>
        <w:rFonts w:hint="default"/>
        <w:lang w:val="en-US" w:eastAsia="en-US" w:bidi="ar-SA"/>
      </w:rPr>
    </w:lvl>
    <w:lvl w:ilvl="4" w:tplc="1BB0A85A">
      <w:numFmt w:val="bullet"/>
      <w:lvlText w:val="•"/>
      <w:lvlJc w:val="left"/>
      <w:pPr>
        <w:ind w:left="1991" w:hanging="360"/>
      </w:pPr>
      <w:rPr>
        <w:rFonts w:hint="default"/>
        <w:lang w:val="en-US" w:eastAsia="en-US" w:bidi="ar-SA"/>
      </w:rPr>
    </w:lvl>
    <w:lvl w:ilvl="5" w:tplc="26285AA0">
      <w:numFmt w:val="bullet"/>
      <w:lvlText w:val="•"/>
      <w:lvlJc w:val="left"/>
      <w:pPr>
        <w:ind w:left="2364" w:hanging="360"/>
      </w:pPr>
      <w:rPr>
        <w:rFonts w:hint="default"/>
        <w:lang w:val="en-US" w:eastAsia="en-US" w:bidi="ar-SA"/>
      </w:rPr>
    </w:lvl>
    <w:lvl w:ilvl="6" w:tplc="4290E5D0">
      <w:numFmt w:val="bullet"/>
      <w:lvlText w:val="•"/>
      <w:lvlJc w:val="left"/>
      <w:pPr>
        <w:ind w:left="2737" w:hanging="360"/>
      </w:pPr>
      <w:rPr>
        <w:rFonts w:hint="default"/>
        <w:lang w:val="en-US" w:eastAsia="en-US" w:bidi="ar-SA"/>
      </w:rPr>
    </w:lvl>
    <w:lvl w:ilvl="7" w:tplc="0E6CBA88">
      <w:numFmt w:val="bullet"/>
      <w:lvlText w:val="•"/>
      <w:lvlJc w:val="left"/>
      <w:pPr>
        <w:ind w:left="3110" w:hanging="360"/>
      </w:pPr>
      <w:rPr>
        <w:rFonts w:hint="default"/>
        <w:lang w:val="en-US" w:eastAsia="en-US" w:bidi="ar-SA"/>
      </w:rPr>
    </w:lvl>
    <w:lvl w:ilvl="8" w:tplc="98B83D2A">
      <w:numFmt w:val="bullet"/>
      <w:lvlText w:val="•"/>
      <w:lvlJc w:val="left"/>
      <w:pPr>
        <w:ind w:left="348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D70C8"/>
    <w:rsid w:val="001B0014"/>
    <w:rsid w:val="00216973"/>
    <w:rsid w:val="00B84403"/>
    <w:rsid w:val="00CD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66E1E"/>
  <w15:docId w15:val="{1EDF58B7-442A-D342-8213-4C3F44CE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13"/>
      <w:outlineLvl w:val="0"/>
    </w:pPr>
    <w:rPr>
      <w:b/>
      <w:bCs/>
      <w:sz w:val="28"/>
      <w:szCs w:val="28"/>
    </w:rPr>
  </w:style>
  <w:style w:type="paragraph" w:styleId="Heading2">
    <w:name w:val="heading 2"/>
    <w:basedOn w:val="Normal"/>
    <w:uiPriority w:val="9"/>
    <w:unhideWhenUsed/>
    <w:qFormat/>
    <w:pPr>
      <w:ind w:left="12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7"/>
      <w:ind w:left="4725"/>
    </w:pPr>
    <w:rPr>
      <w:b/>
      <w:bCs/>
      <w:sz w:val="36"/>
      <w:szCs w:val="36"/>
    </w:rPr>
  </w:style>
  <w:style w:type="paragraph" w:styleId="ListParagraph">
    <w:name w:val="List Paragraph"/>
    <w:basedOn w:val="Normal"/>
    <w:uiPriority w:val="1"/>
    <w:qFormat/>
    <w:pPr>
      <w:spacing w:before="1"/>
      <w:ind w:left="499" w:right="2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nyurl.com/MathRoadmap" TargetMode="External"/><Relationship Id="rId3" Type="http://schemas.openxmlformats.org/officeDocument/2006/relationships/settings" Target="settings.xml"/><Relationship Id="rId7" Type="http://schemas.openxmlformats.org/officeDocument/2006/relationships/hyperlink" Target="http://tinyurl.com/ELARoad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R-HB265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ORPractic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Annual Notice for Statewide Tests</dc:title>
  <dc:creator>Administrator</dc:creator>
  <cp:lastModifiedBy>Lafcadio Adams</cp:lastModifiedBy>
  <cp:revision>3</cp:revision>
  <dcterms:created xsi:type="dcterms:W3CDTF">2020-09-15T20:45:00Z</dcterms:created>
  <dcterms:modified xsi:type="dcterms:W3CDTF">2020-09-15T20:50:00Z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17 for Word</vt:lpwstr>
  </property>
  <property fmtid="{D5CDD505-2E9C-101B-9397-08002B2CF9AE}" pid="4" name="LastSaved">
    <vt:filetime>2020-09-15T00:00:00Z</vt:filetime>
  </property>
</Properties>
</file>